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D5A" w:rsidRPr="00C41D5A" w:rsidRDefault="00C41D5A" w:rsidP="00C41D5A">
      <w:pPr>
        <w:keepNext/>
        <w:tabs>
          <w:tab w:val="left" w:pos="1440"/>
        </w:tabs>
        <w:overflowPunct w:val="0"/>
        <w:autoSpaceDE w:val="0"/>
        <w:autoSpaceDN w:val="0"/>
        <w:adjustRightInd w:val="0"/>
        <w:spacing w:before="120" w:after="120" w:line="240" w:lineRule="auto"/>
        <w:textAlignment w:val="baseline"/>
        <w:outlineLvl w:val="0"/>
        <w:rPr>
          <w:rFonts w:ascii="Verdana" w:eastAsia="Times New Roman" w:hAnsi="Verdana" w:cs="Times New Roman"/>
          <w:b/>
          <w:caps/>
          <w:color w:val="333399"/>
          <w:sz w:val="24"/>
          <w:szCs w:val="24"/>
        </w:rPr>
      </w:pPr>
      <w:bookmarkStart w:id="0" w:name="_Toc370548791"/>
      <w:r w:rsidRPr="00C41D5A">
        <w:rPr>
          <w:rFonts w:ascii="Verdana" w:eastAsia="Times New Roman" w:hAnsi="Verdana" w:cs="Times New Roman"/>
          <w:b/>
          <w:caps/>
          <w:color w:val="333399"/>
          <w:sz w:val="24"/>
          <w:szCs w:val="24"/>
        </w:rPr>
        <w:t>Information Security PolIcy</w:t>
      </w:r>
      <w:bookmarkEnd w:id="0"/>
    </w:p>
    <w:p w:rsidR="00C41D5A" w:rsidRPr="00C41D5A" w:rsidRDefault="00C41D5A" w:rsidP="00C41D5A">
      <w:pPr>
        <w:tabs>
          <w:tab w:val="left" w:pos="1440"/>
          <w:tab w:val="left" w:pos="3229"/>
        </w:tabs>
        <w:spacing w:after="0" w:line="240" w:lineRule="auto"/>
        <w:ind w:left="-900"/>
        <w:jc w:val="both"/>
        <w:rPr>
          <w:rFonts w:ascii="Verdana" w:eastAsia="Times New Roman" w:hAnsi="Verdana" w:cs="Times New Roman"/>
          <w:b/>
          <w:i/>
          <w:color w:val="000080"/>
          <w:sz w:val="24"/>
          <w:szCs w:val="24"/>
        </w:rPr>
      </w:pPr>
      <w:r w:rsidRPr="00C41D5A">
        <w:rPr>
          <w:rFonts w:ascii="Verdana" w:eastAsia="Times New Roman" w:hAnsi="Verdana" w:cs="Times New Roman"/>
          <w:b/>
          <w:i/>
          <w:noProof/>
          <w:color w:val="000080"/>
          <w:sz w:val="24"/>
          <w:szCs w:val="24"/>
        </w:rPr>
        <mc:AlternateContent>
          <mc:Choice Requires="wps">
            <w:drawing>
              <wp:anchor distT="0" distB="0" distL="114300" distR="114300" simplePos="0" relativeHeight="251659264" behindDoc="0" locked="0" layoutInCell="0" allowOverlap="1" wp14:anchorId="1188A8A3" wp14:editId="42BA3F18">
                <wp:simplePos x="0" y="0"/>
                <wp:positionH relativeFrom="column">
                  <wp:posOffset>-342900</wp:posOffset>
                </wp:positionH>
                <wp:positionV relativeFrom="paragraph">
                  <wp:posOffset>44450</wp:posOffset>
                </wp:positionV>
                <wp:extent cx="6400800" cy="0"/>
                <wp:effectExtent l="0" t="0" r="19050"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05EA3"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pt" to="47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DicFAIAACkEAAAOAAAAZHJzL2Uyb0RvYy54bWysU8GO2yAQvVfqPyDuie3Um2atOKvKjntJ&#10;u5F2+wEEcIyKAQGJE1X99w44SZv2UlW9YPDMPN7MeyyfTr1ER26d0KrE2TTFiCuqmVD7En95bSYL&#10;jJwnihGpFS/xmTv8tHr7ZjmYgs90pyXjFgGIcsVgStx5b4okcbTjPXFTbbiCYKttTzwc7T5hlgyA&#10;3stklqbzZNCWGaspdw7+1mMQryJ+23Lqn9vWcY9kiYGbj6uN6y6syWpJir0lphP0QoP8A4ueCAWX&#10;3qBq4gk6WPEHVC+o1U63fkp1n+i2FZTHHqCbLP2tm5eOGB57geE4cxuT+3+w9PNxa5FgJQahFOlB&#10;oo1QHOVhMoNxBSRUamtDb/SkXsxG068OKV11RO15ZPh6NlCWhYrkriQcnAH83fBJM8ghB6/jmE6t&#10;7QMkDACdohrnmxr85BGFn/M8TRcpiEavsYQU10Jjnf/IdY/CpsQSOEdgctw4H4iQ4poS7lG6EVJG&#10;saVCQ4lnD4AeK5yWgoVoyHN2v6ukRUcCfmmaqoKkEe0uzeqDYhGt44StL3tPhBz3cLtUAQ96AT6X&#10;3WiIb4/p43qxXuSTfDZfT/K0ricfmiqfzJvs/UP9rq6qOvseqGV50QnGuArsrubM8r8T//JMRlvd&#10;7HmbQ3KPHgcGZK/fSDqKGfQbnbDT7Ly1YRpBV/BjTL68nWD4X88x6+cLX/0AAAD//wMAUEsDBBQA&#10;BgAIAAAAIQDwn68w2gAAAAcBAAAPAAAAZHJzL2Rvd25yZXYueG1sTI/BTsJAEIbvJr7DZky8wRai&#10;gqVbgka8eBJNlNvQHdqG7mztLqW+vSMXPU2+/JN/vsmWg2tUT12oPRuYjBNQxIW3NZcG3t/Wozmo&#10;EJEtNp7JwDcFWOaXFxmm1p/4lfpNLJWUcEjRQBVjm2odioochrFviSXb+85hFOxKbTs8Sblr9DRJ&#10;7rTDmuVChS09VlQcNkdnoJ89TD79Fu36Zf580F8F75/KD2Our4bVAlSkIf4tw6++qEMuTjt/ZBtU&#10;Y2B0eyO/RAMzGZLfn3l3Zp1n+r9//gMAAP//AwBQSwECLQAUAAYACAAAACEAtoM4kv4AAADhAQAA&#10;EwAAAAAAAAAAAAAAAAAAAAAAW0NvbnRlbnRfVHlwZXNdLnhtbFBLAQItABQABgAIAAAAIQA4/SH/&#10;1gAAAJQBAAALAAAAAAAAAAAAAAAAAC8BAABfcmVscy8ucmVsc1BLAQItABQABgAIAAAAIQB0iDic&#10;FAIAACkEAAAOAAAAAAAAAAAAAAAAAC4CAABkcnMvZTJvRG9jLnhtbFBLAQItABQABgAIAAAAIQDw&#10;n68w2gAAAAcBAAAPAAAAAAAAAAAAAAAAAG4EAABkcnMvZG93bnJldi54bWxQSwUGAAAAAAQABADz&#10;AAAAdQUAAAAA&#10;" o:allowincell="f" strokecolor="#fc0" strokeweight="2pt"/>
            </w:pict>
          </mc:Fallback>
        </mc:AlternateContent>
      </w:r>
    </w:p>
    <w:p w:rsidR="00C41D5A" w:rsidRPr="00C41D5A" w:rsidRDefault="00C41D5A" w:rsidP="00C41D5A">
      <w:pPr>
        <w:keepNext/>
        <w:keepLines/>
        <w:pBdr>
          <w:bottom w:val="single" w:sz="8" w:space="4" w:color="4F81BD"/>
        </w:pBdr>
        <w:spacing w:after="120" w:line="240" w:lineRule="auto"/>
        <w:outlineLvl w:val="2"/>
        <w:rPr>
          <w:rFonts w:ascii="Arial" w:eastAsia="Times New Roman" w:hAnsi="Arial" w:cs="Times New Roman"/>
          <w:b/>
          <w:color w:val="333399"/>
          <w:spacing w:val="5"/>
          <w:kern w:val="28"/>
          <w:szCs w:val="52"/>
        </w:rPr>
      </w:pPr>
      <w:bookmarkStart w:id="1" w:name="_Toc364237261"/>
      <w:bookmarkStart w:id="2" w:name="_Toc364238112"/>
      <w:bookmarkStart w:id="3" w:name="_Toc364237262"/>
      <w:bookmarkStart w:id="4" w:name="_Toc364238113"/>
      <w:bookmarkStart w:id="5" w:name="_Toc370548792"/>
      <w:bookmarkEnd w:id="1"/>
      <w:bookmarkEnd w:id="2"/>
      <w:bookmarkEnd w:id="3"/>
      <w:bookmarkEnd w:id="4"/>
      <w:r w:rsidRPr="00C41D5A">
        <w:rPr>
          <w:rFonts w:ascii="Arial" w:eastAsia="Times New Roman" w:hAnsi="Arial" w:cs="Times New Roman"/>
          <w:b/>
          <w:color w:val="333399"/>
          <w:sz w:val="28"/>
          <w:szCs w:val="20"/>
        </w:rPr>
        <w:t>Mobile Security</w:t>
      </w:r>
      <w:bookmarkEnd w:id="5"/>
    </w:p>
    <w:p w:rsidR="00C41D5A" w:rsidRPr="00C41D5A" w:rsidRDefault="00C41D5A" w:rsidP="00C41D5A">
      <w:pPr>
        <w:keepNext/>
        <w:keepLines/>
        <w:numPr>
          <w:ilvl w:val="1"/>
          <w:numId w:val="1"/>
        </w:numPr>
        <w:tabs>
          <w:tab w:val="left" w:pos="1440"/>
        </w:tabs>
        <w:spacing w:before="240" w:after="120" w:line="240" w:lineRule="auto"/>
        <w:contextualSpacing/>
        <w:jc w:val="both"/>
        <w:outlineLvl w:val="3"/>
        <w:rPr>
          <w:rFonts w:ascii="Arial" w:eastAsia="Times New Roman" w:hAnsi="Arial" w:cs="Times New Roman"/>
          <w:b/>
          <w:color w:val="333399"/>
          <w:spacing w:val="5"/>
          <w:kern w:val="28"/>
          <w:sz w:val="24"/>
          <w:szCs w:val="52"/>
        </w:rPr>
      </w:pPr>
      <w:bookmarkStart w:id="6" w:name="_Toc370548793"/>
      <w:r w:rsidRPr="00C41D5A">
        <w:rPr>
          <w:rFonts w:ascii="Arial" w:eastAsia="Times New Roman" w:hAnsi="Arial" w:cs="Times New Roman"/>
          <w:b/>
          <w:color w:val="333399"/>
          <w:spacing w:val="5"/>
          <w:kern w:val="28"/>
          <w:sz w:val="24"/>
          <w:szCs w:val="52"/>
        </w:rPr>
        <w:t>Mobile Security</w:t>
      </w:r>
      <w:bookmarkEnd w:id="6"/>
    </w:p>
    <w:tbl>
      <w:tblPr>
        <w:tblW w:w="9360" w:type="dxa"/>
        <w:tblInd w:w="115" w:type="dxa"/>
        <w:tblLayout w:type="fixed"/>
        <w:tblCellMar>
          <w:top w:w="72" w:type="dxa"/>
          <w:left w:w="72" w:type="dxa"/>
          <w:bottom w:w="72" w:type="dxa"/>
          <w:right w:w="72" w:type="dxa"/>
        </w:tblCellMar>
        <w:tblLook w:val="04A0" w:firstRow="1" w:lastRow="0" w:firstColumn="1" w:lastColumn="0" w:noHBand="0" w:noVBand="1"/>
      </w:tblPr>
      <w:tblGrid>
        <w:gridCol w:w="2117"/>
        <w:gridCol w:w="7243"/>
      </w:tblGrid>
      <w:tr w:rsidR="00C41D5A" w:rsidRPr="00C41D5A" w:rsidTr="00837E13">
        <w:tc>
          <w:tcPr>
            <w:tcW w:w="2117" w:type="dxa"/>
            <w:hideMark/>
          </w:tcPr>
          <w:p w:rsidR="00C41D5A" w:rsidRPr="00C41D5A" w:rsidRDefault="00C41D5A" w:rsidP="00C41D5A">
            <w:pPr>
              <w:spacing w:after="0" w:line="240" w:lineRule="auto"/>
              <w:rPr>
                <w:rFonts w:ascii="Arial" w:eastAsia="Calibri" w:hAnsi="Arial" w:cs="Arial"/>
                <w:color w:val="1F497D"/>
                <w:szCs w:val="24"/>
              </w:rPr>
            </w:pPr>
            <w:r w:rsidRPr="00C41D5A">
              <w:rPr>
                <w:rFonts w:ascii="Arial" w:eastAsia="Calibri" w:hAnsi="Arial" w:cs="Arial"/>
                <w:color w:val="1F497D"/>
                <w:szCs w:val="24"/>
              </w:rPr>
              <w:t>Purpose</w:t>
            </w:r>
          </w:p>
        </w:tc>
        <w:tc>
          <w:tcPr>
            <w:tcW w:w="7243" w:type="dxa"/>
            <w:tcBorders>
              <w:top w:val="single" w:sz="6" w:space="0" w:color="000000"/>
              <w:left w:val="nil"/>
              <w:bottom w:val="nil"/>
              <w:right w:val="nil"/>
            </w:tcBorders>
            <w:hideMark/>
          </w:tcPr>
          <w:p w:rsidR="00C41D5A" w:rsidRPr="00C41D5A" w:rsidRDefault="00C41D5A" w:rsidP="00C41D5A">
            <w:pPr>
              <w:spacing w:after="0" w:line="240" w:lineRule="auto"/>
              <w:rPr>
                <w:rFonts w:ascii="Arial" w:eastAsia="Calibri" w:hAnsi="Arial" w:cs="Arial"/>
                <w:szCs w:val="24"/>
              </w:rPr>
            </w:pPr>
            <w:r w:rsidRPr="00C41D5A">
              <w:rPr>
                <w:rFonts w:ascii="Arial" w:eastAsia="Calibri" w:hAnsi="Arial" w:cs="Arial"/>
                <w:szCs w:val="24"/>
              </w:rPr>
              <w:t xml:space="preserve">The purpose of the mobile security section is to describe the minimum security policy for mobile devices used to access State data, including usage restrictions, configuration management, device authentication, and implementation of mandatory security software. </w:t>
            </w:r>
          </w:p>
        </w:tc>
      </w:tr>
      <w:tr w:rsidR="00C41D5A" w:rsidRPr="00C41D5A" w:rsidTr="00837E13">
        <w:tc>
          <w:tcPr>
            <w:tcW w:w="2117" w:type="dxa"/>
            <w:hideMark/>
          </w:tcPr>
          <w:p w:rsidR="00C41D5A" w:rsidRPr="00C41D5A" w:rsidRDefault="00C41D5A" w:rsidP="00C41D5A">
            <w:pPr>
              <w:spacing w:after="0" w:line="240" w:lineRule="auto"/>
              <w:rPr>
                <w:rFonts w:ascii="Arial" w:eastAsia="Calibri" w:hAnsi="Arial" w:cs="Arial"/>
                <w:color w:val="1F497D"/>
                <w:szCs w:val="24"/>
              </w:rPr>
            </w:pPr>
            <w:r w:rsidRPr="00C41D5A">
              <w:rPr>
                <w:rFonts w:ascii="Arial" w:eastAsia="Calibri" w:hAnsi="Arial" w:cs="Arial"/>
                <w:color w:val="1F497D"/>
                <w:szCs w:val="24"/>
              </w:rPr>
              <w:t>Policy</w:t>
            </w:r>
          </w:p>
        </w:tc>
        <w:tc>
          <w:tcPr>
            <w:tcW w:w="7243" w:type="dxa"/>
            <w:tcBorders>
              <w:top w:val="single" w:sz="6" w:space="0" w:color="000000"/>
              <w:left w:val="nil"/>
              <w:bottom w:val="single" w:sz="6" w:space="0" w:color="000000"/>
              <w:right w:val="nil"/>
            </w:tcBorders>
            <w:hideMark/>
          </w:tcPr>
          <w:p w:rsidR="00C41D5A" w:rsidRPr="00C41D5A" w:rsidRDefault="00C41D5A" w:rsidP="00C41D5A">
            <w:pPr>
              <w:spacing w:after="0" w:line="240" w:lineRule="auto"/>
              <w:rPr>
                <w:rFonts w:ascii="Arial" w:eastAsia="Calibri" w:hAnsi="Arial" w:cs="Arial"/>
              </w:rPr>
            </w:pPr>
            <w:r w:rsidRPr="00C41D5A">
              <w:rPr>
                <w:rFonts w:ascii="Arial" w:eastAsia="Calibri" w:hAnsi="Arial" w:cs="Arial"/>
              </w:rPr>
              <w:t>State business requirements may, on occasion, justify storing confidential data on mobile computing devices. It is the responsibility of the [Agency] to recognize the associated risks and take the necessary steps to protect and secure their mobile computing devices.</w:t>
            </w:r>
          </w:p>
          <w:p w:rsidR="00C41D5A" w:rsidRPr="00C41D5A" w:rsidRDefault="00C41D5A" w:rsidP="00C41D5A">
            <w:pPr>
              <w:spacing w:after="0" w:line="240" w:lineRule="auto"/>
              <w:rPr>
                <w:rFonts w:ascii="Arial" w:eastAsia="Calibri" w:hAnsi="Arial" w:cs="Arial"/>
              </w:rPr>
            </w:pPr>
          </w:p>
          <w:p w:rsidR="00C41D5A" w:rsidRPr="00C41D5A" w:rsidRDefault="00C41D5A" w:rsidP="00C41D5A">
            <w:pPr>
              <w:spacing w:before="60" w:after="60" w:line="240" w:lineRule="auto"/>
              <w:rPr>
                <w:rFonts w:ascii="Arial" w:eastAsia="Times New Roman" w:hAnsi="Arial" w:cs="Arial"/>
                <w:szCs w:val="24"/>
              </w:rPr>
            </w:pPr>
            <w:r w:rsidRPr="00C41D5A">
              <w:rPr>
                <w:rFonts w:ascii="Arial" w:eastAsia="Times New Roman" w:hAnsi="Arial" w:cs="Arial"/>
                <w:szCs w:val="24"/>
              </w:rPr>
              <w:t>Device Identification (MP 7)</w:t>
            </w:r>
          </w:p>
          <w:p w:rsidR="00C41D5A" w:rsidRPr="00C41D5A" w:rsidRDefault="00C41D5A" w:rsidP="00C41D5A">
            <w:pPr>
              <w:numPr>
                <w:ilvl w:val="0"/>
                <w:numId w:val="2"/>
              </w:numPr>
              <w:tabs>
                <w:tab w:val="left" w:pos="1440"/>
              </w:tabs>
              <w:spacing w:before="60" w:after="60" w:line="240" w:lineRule="auto"/>
              <w:jc w:val="both"/>
              <w:rPr>
                <w:rFonts w:ascii="Arial" w:eastAsia="Calibri" w:hAnsi="Arial" w:cs="Arial"/>
              </w:rPr>
            </w:pPr>
            <w:r w:rsidRPr="00C41D5A">
              <w:rPr>
                <w:rFonts w:ascii="Arial" w:eastAsia="Calibri" w:hAnsi="Arial" w:cs="Arial"/>
              </w:rPr>
              <w:t>[Agency] only allows portable media devices when these are assigned and identified to an individual owner.</w:t>
            </w:r>
          </w:p>
          <w:p w:rsidR="00C41D5A" w:rsidRPr="00C41D5A" w:rsidRDefault="00C41D5A" w:rsidP="00C41D5A">
            <w:pPr>
              <w:numPr>
                <w:ilvl w:val="0"/>
                <w:numId w:val="2"/>
              </w:numPr>
              <w:tabs>
                <w:tab w:val="left" w:pos="1440"/>
              </w:tabs>
              <w:spacing w:before="60" w:after="60" w:line="240" w:lineRule="auto"/>
              <w:jc w:val="both"/>
              <w:rPr>
                <w:rFonts w:ascii="Arial" w:eastAsia="Calibri" w:hAnsi="Arial" w:cs="Arial"/>
              </w:rPr>
            </w:pPr>
            <w:r w:rsidRPr="00C41D5A">
              <w:rPr>
                <w:rFonts w:ascii="Arial" w:eastAsia="Calibri" w:hAnsi="Arial" w:cs="Arial"/>
              </w:rPr>
              <w:t>[Agency] only allows the use of portable media devices that allow sanitization.</w:t>
            </w:r>
          </w:p>
          <w:p w:rsidR="00C41D5A" w:rsidRPr="00C41D5A" w:rsidRDefault="00C41D5A" w:rsidP="00C41D5A">
            <w:pPr>
              <w:numPr>
                <w:ilvl w:val="0"/>
                <w:numId w:val="2"/>
              </w:numPr>
              <w:tabs>
                <w:tab w:val="left" w:pos="1440"/>
              </w:tabs>
              <w:spacing w:before="60" w:after="60" w:line="240" w:lineRule="auto"/>
              <w:jc w:val="both"/>
              <w:rPr>
                <w:rFonts w:ascii="Arial" w:eastAsia="Calibri" w:hAnsi="Arial" w:cs="Arial"/>
              </w:rPr>
            </w:pPr>
            <w:r w:rsidRPr="00C41D5A">
              <w:rPr>
                <w:rFonts w:ascii="Arial" w:eastAsia="Calibri" w:hAnsi="Arial" w:cs="Arial"/>
              </w:rPr>
              <w:t xml:space="preserve">[Agency] shall use mobile devices that have the ability to be remotely wiped / erased.  </w:t>
            </w:r>
          </w:p>
          <w:p w:rsidR="00C41D5A" w:rsidRPr="00C41D5A" w:rsidRDefault="00C41D5A" w:rsidP="00C41D5A">
            <w:pPr>
              <w:spacing w:before="60" w:after="60" w:line="240" w:lineRule="auto"/>
              <w:rPr>
                <w:rFonts w:ascii="Arial" w:eastAsia="Times New Roman" w:hAnsi="Arial" w:cs="Arial"/>
                <w:szCs w:val="24"/>
              </w:rPr>
            </w:pPr>
            <w:r w:rsidRPr="00C41D5A">
              <w:rPr>
                <w:rFonts w:ascii="Arial" w:eastAsia="Times New Roman" w:hAnsi="Arial" w:cs="Arial"/>
                <w:szCs w:val="24"/>
              </w:rPr>
              <w:t xml:space="preserve">Access Control for Mobile Devices (AC 19) </w:t>
            </w:r>
          </w:p>
          <w:p w:rsidR="00C41D5A" w:rsidRPr="00C41D5A" w:rsidRDefault="00C41D5A" w:rsidP="00C41D5A">
            <w:pPr>
              <w:numPr>
                <w:ilvl w:val="0"/>
                <w:numId w:val="2"/>
              </w:numPr>
              <w:tabs>
                <w:tab w:val="left" w:pos="1440"/>
              </w:tabs>
              <w:spacing w:before="60" w:after="60" w:line="240" w:lineRule="auto"/>
              <w:jc w:val="both"/>
              <w:rPr>
                <w:rFonts w:ascii="Arial" w:eastAsia="Calibri" w:hAnsi="Arial" w:cs="Arial"/>
              </w:rPr>
            </w:pPr>
            <w:r w:rsidRPr="00C41D5A">
              <w:rPr>
                <w:rFonts w:ascii="Arial" w:eastAsia="Calibri" w:hAnsi="Arial" w:cs="Arial"/>
              </w:rPr>
              <w:t xml:space="preserve">[Agency] shall develop usage restrictions, configuration requirements, connection requirements, and implementation guidance for organization-controlled mobile devices. </w:t>
            </w:r>
          </w:p>
          <w:p w:rsidR="00C41D5A" w:rsidRPr="00C41D5A" w:rsidRDefault="00C41D5A" w:rsidP="00C41D5A">
            <w:pPr>
              <w:numPr>
                <w:ilvl w:val="0"/>
                <w:numId w:val="2"/>
              </w:numPr>
              <w:tabs>
                <w:tab w:val="left" w:pos="1440"/>
              </w:tabs>
              <w:spacing w:before="60" w:after="60" w:line="240" w:lineRule="auto"/>
              <w:jc w:val="both"/>
              <w:rPr>
                <w:rFonts w:ascii="Arial" w:eastAsia="Calibri" w:hAnsi="Arial" w:cs="Arial"/>
              </w:rPr>
            </w:pPr>
            <w:r w:rsidRPr="00C41D5A">
              <w:rPr>
                <w:rFonts w:ascii="Arial" w:eastAsia="Calibri" w:hAnsi="Arial" w:cs="Arial"/>
              </w:rPr>
              <w:t xml:space="preserve">[Agency] shall develop a list of approved mobile devices. Only approved mobile devices shall be allowed to access the [Agency]’s network and information systems. </w:t>
            </w:r>
          </w:p>
          <w:p w:rsidR="00C41D5A" w:rsidRPr="00C41D5A" w:rsidRDefault="00C41D5A" w:rsidP="00C41D5A">
            <w:pPr>
              <w:numPr>
                <w:ilvl w:val="0"/>
                <w:numId w:val="2"/>
              </w:numPr>
              <w:tabs>
                <w:tab w:val="left" w:pos="1440"/>
              </w:tabs>
              <w:spacing w:before="60" w:after="60" w:line="240" w:lineRule="auto"/>
              <w:jc w:val="both"/>
              <w:rPr>
                <w:rFonts w:ascii="Arial" w:eastAsia="Calibri" w:hAnsi="Arial" w:cs="Arial"/>
              </w:rPr>
            </w:pPr>
            <w:r w:rsidRPr="00C41D5A">
              <w:rPr>
                <w:rFonts w:ascii="Arial" w:eastAsia="Calibri" w:hAnsi="Arial" w:cs="Arial"/>
              </w:rPr>
              <w:t>[Agency] shall develop and apply adequate asset management procedures to all mobile devices.</w:t>
            </w:r>
          </w:p>
          <w:p w:rsidR="00C41D5A" w:rsidRPr="00C41D5A" w:rsidRDefault="00C41D5A" w:rsidP="00C41D5A">
            <w:pPr>
              <w:numPr>
                <w:ilvl w:val="0"/>
                <w:numId w:val="2"/>
              </w:numPr>
              <w:tabs>
                <w:tab w:val="left" w:pos="1440"/>
              </w:tabs>
              <w:spacing w:before="60" w:after="60" w:line="240" w:lineRule="auto"/>
              <w:jc w:val="both"/>
              <w:rPr>
                <w:rFonts w:ascii="Arial" w:eastAsia="Calibri" w:hAnsi="Arial" w:cs="Arial"/>
              </w:rPr>
            </w:pPr>
            <w:r w:rsidRPr="00C41D5A">
              <w:rPr>
                <w:rFonts w:ascii="Arial" w:eastAsia="Calibri" w:hAnsi="Arial" w:cs="Arial"/>
              </w:rPr>
              <w:t>[Agency] shall utilize the approved encryption standard for mobile devices.</w:t>
            </w:r>
          </w:p>
          <w:p w:rsidR="00C41D5A" w:rsidRPr="00C41D5A" w:rsidRDefault="00C41D5A" w:rsidP="00C41D5A">
            <w:pPr>
              <w:numPr>
                <w:ilvl w:val="0"/>
                <w:numId w:val="2"/>
              </w:numPr>
              <w:tabs>
                <w:tab w:val="left" w:pos="1440"/>
              </w:tabs>
              <w:spacing w:before="60" w:after="60" w:line="240" w:lineRule="auto"/>
              <w:jc w:val="both"/>
              <w:rPr>
                <w:rFonts w:ascii="Arial" w:eastAsia="Calibri" w:hAnsi="Arial" w:cs="Arial"/>
              </w:rPr>
            </w:pPr>
            <w:r w:rsidRPr="00C41D5A">
              <w:rPr>
                <w:rFonts w:ascii="Arial" w:eastAsia="Calibri" w:hAnsi="Arial" w:cs="Arial"/>
              </w:rPr>
              <w:t>[Agency] shall implement controls to centrally manage the installation of standardized operating system, applications and patches on mobile devices.</w:t>
            </w:r>
          </w:p>
          <w:p w:rsidR="00C41D5A" w:rsidRPr="00C41D5A" w:rsidRDefault="00C41D5A" w:rsidP="00C41D5A">
            <w:pPr>
              <w:numPr>
                <w:ilvl w:val="0"/>
                <w:numId w:val="2"/>
              </w:numPr>
              <w:tabs>
                <w:tab w:val="left" w:pos="1440"/>
              </w:tabs>
              <w:spacing w:before="60" w:after="60" w:line="240" w:lineRule="auto"/>
              <w:jc w:val="both"/>
              <w:rPr>
                <w:rFonts w:ascii="Arial" w:eastAsia="Calibri" w:hAnsi="Arial" w:cs="Arial"/>
              </w:rPr>
            </w:pPr>
            <w:r w:rsidRPr="00C41D5A">
              <w:rPr>
                <w:rFonts w:ascii="Arial" w:eastAsia="Calibri" w:hAnsi="Arial" w:cs="Arial"/>
              </w:rPr>
              <w:t>[Agency] shall remove sensitive and confidential information from the mobile device before it is disposed.</w:t>
            </w:r>
          </w:p>
          <w:p w:rsidR="00C41D5A" w:rsidRPr="00C41D5A" w:rsidRDefault="00C41D5A" w:rsidP="00C41D5A">
            <w:pPr>
              <w:numPr>
                <w:ilvl w:val="0"/>
                <w:numId w:val="2"/>
              </w:numPr>
              <w:tabs>
                <w:tab w:val="left" w:pos="1440"/>
              </w:tabs>
              <w:spacing w:before="60" w:after="60" w:line="240" w:lineRule="auto"/>
              <w:jc w:val="both"/>
              <w:rPr>
                <w:rFonts w:ascii="Arial" w:eastAsia="Calibri" w:hAnsi="Arial" w:cs="Arial"/>
              </w:rPr>
            </w:pPr>
            <w:r w:rsidRPr="00C41D5A">
              <w:rPr>
                <w:rFonts w:ascii="Arial" w:eastAsia="Calibri" w:hAnsi="Arial" w:cs="Arial"/>
              </w:rPr>
              <w:t xml:space="preserve">[Agency] shall deploy administrative and technical controls to mitigate risks associated with lost or stolen mobile devices. </w:t>
            </w:r>
          </w:p>
          <w:p w:rsidR="00C41D5A" w:rsidRPr="00C41D5A" w:rsidRDefault="00C41D5A" w:rsidP="00C41D5A">
            <w:pPr>
              <w:numPr>
                <w:ilvl w:val="0"/>
                <w:numId w:val="2"/>
              </w:numPr>
              <w:tabs>
                <w:tab w:val="left" w:pos="1440"/>
              </w:tabs>
              <w:spacing w:before="60" w:after="60" w:line="240" w:lineRule="auto"/>
              <w:jc w:val="both"/>
              <w:rPr>
                <w:rFonts w:ascii="Arial" w:eastAsia="Calibri" w:hAnsi="Arial" w:cs="Arial"/>
              </w:rPr>
            </w:pPr>
            <w:r w:rsidRPr="00C41D5A">
              <w:rPr>
                <w:rFonts w:ascii="Arial" w:eastAsia="Calibri" w:hAnsi="Arial" w:cs="Arial"/>
              </w:rPr>
              <w:t>In order to reduce risks associated with vulnerabilities in mobile devices, [Agency] shall implement:</w:t>
            </w:r>
          </w:p>
          <w:p w:rsidR="00C41D5A" w:rsidRPr="00C41D5A" w:rsidRDefault="00C41D5A" w:rsidP="00C41D5A">
            <w:pPr>
              <w:numPr>
                <w:ilvl w:val="1"/>
                <w:numId w:val="2"/>
              </w:numPr>
              <w:tabs>
                <w:tab w:val="left" w:pos="1440"/>
              </w:tabs>
              <w:spacing w:before="60" w:after="60" w:line="240" w:lineRule="auto"/>
              <w:jc w:val="both"/>
              <w:rPr>
                <w:rFonts w:ascii="Arial" w:eastAsia="Calibri" w:hAnsi="Arial" w:cs="Arial"/>
              </w:rPr>
            </w:pPr>
            <w:r w:rsidRPr="00C41D5A">
              <w:rPr>
                <w:rFonts w:ascii="Arial" w:eastAsia="Calibri" w:hAnsi="Arial" w:cs="Arial"/>
              </w:rPr>
              <w:t>Controls for testing vendor recommended patches, hot-fixes or service packs before such changes are approved installation; and</w:t>
            </w:r>
          </w:p>
          <w:p w:rsidR="00C41D5A" w:rsidRPr="00C41D5A" w:rsidRDefault="00C41D5A" w:rsidP="00C41D5A">
            <w:pPr>
              <w:numPr>
                <w:ilvl w:val="1"/>
                <w:numId w:val="2"/>
              </w:numPr>
              <w:tabs>
                <w:tab w:val="left" w:pos="1440"/>
              </w:tabs>
              <w:spacing w:before="60" w:after="60" w:line="240" w:lineRule="auto"/>
              <w:jc w:val="both"/>
              <w:rPr>
                <w:rFonts w:ascii="Arial" w:eastAsia="Calibri" w:hAnsi="Arial" w:cs="Arial"/>
              </w:rPr>
            </w:pPr>
            <w:r w:rsidRPr="00C41D5A">
              <w:rPr>
                <w:rFonts w:ascii="Arial" w:eastAsia="Calibri" w:hAnsi="Arial" w:cs="Arial"/>
              </w:rPr>
              <w:lastRenderedPageBreak/>
              <w:t>A process to keep system hardware, operating system and applications up-to-date with the approved system updates.</w:t>
            </w:r>
          </w:p>
          <w:p w:rsidR="00C41D5A" w:rsidRPr="00C41D5A" w:rsidRDefault="00C41D5A" w:rsidP="00C41D5A">
            <w:pPr>
              <w:numPr>
                <w:ilvl w:val="0"/>
                <w:numId w:val="2"/>
              </w:numPr>
              <w:tabs>
                <w:tab w:val="left" w:pos="1440"/>
              </w:tabs>
              <w:spacing w:before="60" w:after="60" w:line="240" w:lineRule="auto"/>
              <w:jc w:val="both"/>
              <w:rPr>
                <w:rFonts w:ascii="Arial" w:eastAsia="Calibri" w:hAnsi="Arial" w:cs="Arial"/>
              </w:rPr>
            </w:pPr>
            <w:r w:rsidRPr="00C41D5A">
              <w:rPr>
                <w:rFonts w:ascii="Arial" w:eastAsia="Calibri" w:hAnsi="Arial" w:cs="Arial"/>
              </w:rPr>
              <w:t>[Agency] shall disable all mobile device options and applications that are not in use or required by users’ duties.</w:t>
            </w:r>
          </w:p>
          <w:p w:rsidR="00C41D5A" w:rsidRPr="00C41D5A" w:rsidRDefault="00C41D5A" w:rsidP="00C41D5A">
            <w:pPr>
              <w:numPr>
                <w:ilvl w:val="0"/>
                <w:numId w:val="2"/>
              </w:numPr>
              <w:tabs>
                <w:tab w:val="left" w:pos="1440"/>
              </w:tabs>
              <w:spacing w:before="60" w:after="60" w:line="240" w:lineRule="auto"/>
              <w:jc w:val="both"/>
              <w:rPr>
                <w:rFonts w:ascii="Arial" w:eastAsia="Calibri" w:hAnsi="Arial" w:cs="Arial"/>
              </w:rPr>
            </w:pPr>
            <w:r w:rsidRPr="00C41D5A">
              <w:rPr>
                <w:rFonts w:ascii="Arial" w:eastAsia="Calibri" w:hAnsi="Arial" w:cs="Arial"/>
              </w:rPr>
              <w:t>[Agency] shall protect all mobile devices with password or Personal Identification Number (PIN).</w:t>
            </w:r>
          </w:p>
          <w:p w:rsidR="00C41D5A" w:rsidRPr="00C41D5A" w:rsidRDefault="00C41D5A" w:rsidP="00C41D5A">
            <w:pPr>
              <w:numPr>
                <w:ilvl w:val="0"/>
                <w:numId w:val="2"/>
              </w:numPr>
              <w:tabs>
                <w:tab w:val="left" w:pos="1440"/>
              </w:tabs>
              <w:spacing w:before="60" w:after="60" w:line="240" w:lineRule="auto"/>
              <w:jc w:val="both"/>
              <w:rPr>
                <w:rFonts w:ascii="Arial" w:eastAsia="Calibri" w:hAnsi="Arial" w:cs="Arial"/>
              </w:rPr>
            </w:pPr>
            <w:r w:rsidRPr="00C41D5A">
              <w:rPr>
                <w:rFonts w:ascii="Arial" w:eastAsia="Calibri" w:hAnsi="Arial" w:cs="Arial"/>
              </w:rPr>
              <w:t>[Agency] shall ensure all mobile devices have timeout/locking features.</w:t>
            </w:r>
          </w:p>
          <w:p w:rsidR="00C41D5A" w:rsidRPr="00C41D5A" w:rsidRDefault="00C41D5A" w:rsidP="00C41D5A">
            <w:pPr>
              <w:numPr>
                <w:ilvl w:val="0"/>
                <w:numId w:val="2"/>
              </w:numPr>
              <w:tabs>
                <w:tab w:val="left" w:pos="1440"/>
              </w:tabs>
              <w:spacing w:before="60" w:after="60" w:line="240" w:lineRule="auto"/>
              <w:jc w:val="both"/>
              <w:rPr>
                <w:rFonts w:ascii="Arial" w:eastAsia="Calibri" w:hAnsi="Arial" w:cs="Arial"/>
              </w:rPr>
            </w:pPr>
            <w:r w:rsidRPr="00C41D5A">
              <w:rPr>
                <w:rFonts w:ascii="Arial" w:eastAsia="Calibri" w:hAnsi="Arial" w:cs="Arial"/>
              </w:rPr>
              <w:t xml:space="preserve">[Agency] shall develop controls for the protection of data storage on mobile devices including removable media. </w:t>
            </w:r>
          </w:p>
          <w:p w:rsidR="00C41D5A" w:rsidRPr="00C41D5A" w:rsidRDefault="00C41D5A" w:rsidP="00C41D5A">
            <w:pPr>
              <w:numPr>
                <w:ilvl w:val="0"/>
                <w:numId w:val="2"/>
              </w:numPr>
              <w:tabs>
                <w:tab w:val="left" w:pos="1440"/>
              </w:tabs>
              <w:spacing w:before="60" w:after="60" w:line="240" w:lineRule="auto"/>
              <w:jc w:val="both"/>
              <w:rPr>
                <w:rFonts w:ascii="Arial" w:eastAsia="Calibri" w:hAnsi="Arial" w:cs="Arial"/>
              </w:rPr>
            </w:pPr>
            <w:r w:rsidRPr="00C41D5A">
              <w:rPr>
                <w:rFonts w:ascii="Arial" w:eastAsia="Calibri" w:hAnsi="Arial" w:cs="Arial"/>
              </w:rPr>
              <w:t>[Agency] shall protect the storage and transmission of information on portable and mobile information devices through scanning the devices for malicious code, virus protection software. Before a mobile device is connected to an [Agency]’s network, it shall be scanned for viruses. If mobile device is used for transitional storage (e.g., copying data between systems), the data shall be securely deleted from the mobile device immediately upon completion.</w:t>
            </w:r>
          </w:p>
          <w:p w:rsidR="00C41D5A" w:rsidRPr="00C41D5A" w:rsidRDefault="00C41D5A" w:rsidP="00C41D5A">
            <w:pPr>
              <w:numPr>
                <w:ilvl w:val="0"/>
                <w:numId w:val="2"/>
              </w:numPr>
              <w:tabs>
                <w:tab w:val="left" w:pos="1440"/>
              </w:tabs>
              <w:spacing w:before="60" w:after="60" w:line="240" w:lineRule="auto"/>
              <w:jc w:val="both"/>
              <w:rPr>
                <w:rFonts w:ascii="Arial" w:eastAsia="Calibri" w:hAnsi="Arial" w:cs="Arial"/>
              </w:rPr>
            </w:pPr>
            <w:r w:rsidRPr="00C41D5A">
              <w:rPr>
                <w:rFonts w:ascii="Arial" w:eastAsia="Calibri" w:hAnsi="Arial" w:cs="Arial"/>
              </w:rPr>
              <w:t xml:space="preserve">[Agency] shall develop a process for users to notify designated personnel when mobile devices are lost or stolen. The process shall include remote wiping / erasing of mobile devices. </w:t>
            </w:r>
          </w:p>
          <w:p w:rsidR="00C41D5A" w:rsidRPr="00C41D5A" w:rsidRDefault="00C41D5A" w:rsidP="00C41D5A">
            <w:pPr>
              <w:spacing w:before="60" w:after="60" w:line="240" w:lineRule="auto"/>
              <w:rPr>
                <w:rFonts w:ascii="Arial" w:eastAsia="Calibri" w:hAnsi="Arial" w:cs="Arial"/>
              </w:rPr>
            </w:pPr>
            <w:r w:rsidRPr="00C41D5A">
              <w:rPr>
                <w:rFonts w:ascii="Arial" w:eastAsia="Calibri" w:hAnsi="Arial" w:cs="Arial"/>
                <w:szCs w:val="24"/>
              </w:rPr>
              <w:t>Access Agreements (PS 6)</w:t>
            </w:r>
          </w:p>
          <w:p w:rsidR="00C41D5A" w:rsidRPr="00C41D5A" w:rsidRDefault="00C41D5A" w:rsidP="00C41D5A">
            <w:pPr>
              <w:numPr>
                <w:ilvl w:val="0"/>
                <w:numId w:val="2"/>
              </w:numPr>
              <w:tabs>
                <w:tab w:val="left" w:pos="1440"/>
              </w:tabs>
              <w:spacing w:before="60" w:after="60" w:line="240" w:lineRule="auto"/>
              <w:jc w:val="both"/>
              <w:rPr>
                <w:rFonts w:ascii="Arial" w:eastAsia="Calibri" w:hAnsi="Arial" w:cs="Arial"/>
                <w:szCs w:val="24"/>
              </w:rPr>
            </w:pPr>
            <w:r w:rsidRPr="00C41D5A">
              <w:rPr>
                <w:rFonts w:ascii="Arial" w:eastAsia="Calibri" w:hAnsi="Arial" w:cs="Arial"/>
                <w:szCs w:val="24"/>
              </w:rPr>
              <w:t>[Agency] shall ensure that individuals requiring access to information or information systems sign appropriate access agreements prior to being granted access.</w:t>
            </w:r>
          </w:p>
          <w:p w:rsidR="00C41D5A" w:rsidRPr="00C41D5A" w:rsidRDefault="00C41D5A" w:rsidP="00C41D5A">
            <w:pPr>
              <w:numPr>
                <w:ilvl w:val="0"/>
                <w:numId w:val="2"/>
              </w:numPr>
              <w:tabs>
                <w:tab w:val="left" w:pos="1440"/>
              </w:tabs>
              <w:spacing w:before="60" w:after="60" w:line="240" w:lineRule="auto"/>
              <w:jc w:val="both"/>
              <w:rPr>
                <w:rFonts w:ascii="Arial" w:eastAsia="Calibri" w:hAnsi="Arial" w:cs="Arial"/>
                <w:szCs w:val="24"/>
              </w:rPr>
            </w:pPr>
            <w:r w:rsidRPr="00C41D5A">
              <w:rPr>
                <w:rFonts w:ascii="Arial" w:eastAsia="Calibri" w:hAnsi="Arial" w:cs="Arial"/>
              </w:rPr>
              <w:t>The physical security of these devices shall be the responsibility of the employee to whom the device has been assigned. Devices shall be kept in the employee’s physical presence whenever possible. Whenever a device is being stored, it shall be stored in a secure place, preferably out of-sight.</w:t>
            </w:r>
          </w:p>
        </w:tc>
      </w:tr>
      <w:tr w:rsidR="00C41D5A" w:rsidRPr="00C41D5A" w:rsidTr="00837E13">
        <w:tc>
          <w:tcPr>
            <w:tcW w:w="2117" w:type="dxa"/>
          </w:tcPr>
          <w:p w:rsidR="00C41D5A" w:rsidRPr="00C41D5A" w:rsidRDefault="00C41D5A" w:rsidP="00C41D5A">
            <w:pPr>
              <w:spacing w:after="0" w:line="240" w:lineRule="auto"/>
              <w:rPr>
                <w:rFonts w:ascii="Arial" w:eastAsia="Calibri" w:hAnsi="Arial" w:cs="Arial"/>
                <w:color w:val="1F497D"/>
                <w:szCs w:val="24"/>
              </w:rPr>
            </w:pPr>
            <w:r w:rsidRPr="00C41D5A">
              <w:rPr>
                <w:rFonts w:ascii="Arial" w:eastAsia="Calibri" w:hAnsi="Arial" w:cs="Arial"/>
                <w:color w:val="1F497D"/>
                <w:szCs w:val="24"/>
              </w:rPr>
              <w:lastRenderedPageBreak/>
              <w:t>Policy Supplement</w:t>
            </w:r>
          </w:p>
        </w:tc>
        <w:tc>
          <w:tcPr>
            <w:tcW w:w="7243" w:type="dxa"/>
            <w:tcBorders>
              <w:top w:val="single" w:sz="6" w:space="0" w:color="000000"/>
              <w:left w:val="nil"/>
              <w:bottom w:val="single" w:sz="6" w:space="0" w:color="000000"/>
              <w:right w:val="nil"/>
            </w:tcBorders>
          </w:tcPr>
          <w:p w:rsidR="00C41D5A" w:rsidRPr="00C41D5A" w:rsidRDefault="00C41D5A" w:rsidP="00C41D5A">
            <w:pPr>
              <w:spacing w:after="0" w:line="240" w:lineRule="auto"/>
              <w:rPr>
                <w:rFonts w:ascii="Arial" w:eastAsia="Calibri" w:hAnsi="Arial" w:cs="Arial"/>
                <w:szCs w:val="24"/>
              </w:rPr>
            </w:pPr>
            <w:r w:rsidRPr="00C41D5A">
              <w:rPr>
                <w:rFonts w:ascii="Arial" w:eastAsia="Calibri" w:hAnsi="Arial" w:cs="Arial"/>
                <w:szCs w:val="24"/>
              </w:rPr>
              <w:t xml:space="preserve">Refer to the </w:t>
            </w:r>
            <w:hyperlink r:id="rId5" w:history="1">
              <w:r w:rsidRPr="00C41D5A">
                <w:rPr>
                  <w:rFonts w:ascii="Times New Roman" w:eastAsia="Times New Roman" w:hAnsi="Times New Roman" w:cs="Arial"/>
                  <w:i/>
                  <w:color w:val="0000FF"/>
                  <w:szCs w:val="24"/>
                  <w:u w:val="single"/>
                </w:rPr>
                <w:t>Division of Information Security</w:t>
              </w:r>
            </w:hyperlink>
            <w:r w:rsidRPr="00C41D5A">
              <w:rPr>
                <w:rFonts w:ascii="Times New Roman" w:eastAsia="Times New Roman" w:hAnsi="Times New Roman" w:cs="Arial"/>
                <w:i/>
                <w:color w:val="333399"/>
                <w:szCs w:val="24"/>
              </w:rPr>
              <w:t xml:space="preserve"> </w:t>
            </w:r>
            <w:r w:rsidRPr="00C41D5A">
              <w:rPr>
                <w:rFonts w:ascii="Arial" w:eastAsia="Calibri" w:hAnsi="Arial" w:cs="Arial"/>
                <w:szCs w:val="24"/>
              </w:rPr>
              <w:t>website for recommended enterprise solutions.</w:t>
            </w:r>
          </w:p>
        </w:tc>
      </w:tr>
      <w:tr w:rsidR="00C41D5A" w:rsidRPr="00C41D5A" w:rsidTr="00837E13">
        <w:tc>
          <w:tcPr>
            <w:tcW w:w="2117" w:type="dxa"/>
          </w:tcPr>
          <w:p w:rsidR="00C41D5A" w:rsidRPr="00C41D5A" w:rsidRDefault="00C41D5A" w:rsidP="00C41D5A">
            <w:pPr>
              <w:spacing w:after="0" w:line="240" w:lineRule="auto"/>
              <w:rPr>
                <w:rFonts w:ascii="Arial" w:eastAsia="Calibri" w:hAnsi="Arial" w:cs="Arial"/>
                <w:color w:val="1F497D"/>
                <w:szCs w:val="24"/>
              </w:rPr>
            </w:pPr>
            <w:r w:rsidRPr="00C41D5A">
              <w:rPr>
                <w:rFonts w:ascii="Arial" w:eastAsia="Calibri" w:hAnsi="Arial" w:cs="Arial"/>
                <w:color w:val="1F497D"/>
                <w:szCs w:val="24"/>
              </w:rPr>
              <w:t xml:space="preserve">Guidance </w:t>
            </w:r>
          </w:p>
        </w:tc>
        <w:tc>
          <w:tcPr>
            <w:tcW w:w="7243" w:type="dxa"/>
            <w:tcBorders>
              <w:top w:val="single" w:sz="6" w:space="0" w:color="000000"/>
              <w:left w:val="nil"/>
              <w:bottom w:val="single" w:sz="6" w:space="0" w:color="000000"/>
              <w:right w:val="nil"/>
            </w:tcBorders>
          </w:tcPr>
          <w:p w:rsidR="00C41D5A" w:rsidRPr="00C41D5A" w:rsidRDefault="00C41D5A" w:rsidP="00C41D5A">
            <w:pPr>
              <w:spacing w:after="0" w:line="240" w:lineRule="auto"/>
              <w:rPr>
                <w:rFonts w:ascii="Arial" w:eastAsia="Calibri" w:hAnsi="Arial" w:cs="Arial"/>
                <w:szCs w:val="24"/>
              </w:rPr>
            </w:pPr>
            <w:r w:rsidRPr="00C41D5A">
              <w:rPr>
                <w:rFonts w:ascii="Arial" w:eastAsia="Calibri" w:hAnsi="Arial" w:cs="Arial"/>
                <w:szCs w:val="24"/>
              </w:rPr>
              <w:t>NIST SP 800-53 Revision 4: Media Use</w:t>
            </w:r>
          </w:p>
          <w:p w:rsidR="00C41D5A" w:rsidRPr="00C41D5A" w:rsidRDefault="00C41D5A" w:rsidP="00C41D5A">
            <w:pPr>
              <w:spacing w:after="0" w:line="240" w:lineRule="auto"/>
              <w:rPr>
                <w:rFonts w:ascii="Arial" w:eastAsia="Calibri" w:hAnsi="Arial" w:cs="Arial"/>
                <w:szCs w:val="24"/>
              </w:rPr>
            </w:pPr>
            <w:r w:rsidRPr="00C41D5A">
              <w:rPr>
                <w:rFonts w:ascii="Arial" w:eastAsia="Calibri" w:hAnsi="Arial" w:cs="Arial"/>
                <w:szCs w:val="24"/>
              </w:rPr>
              <w:t>NIST SP 800-53 Revision 4: AC 19</w:t>
            </w:r>
            <w:r w:rsidRPr="00C41D5A">
              <w:rPr>
                <w:rFonts w:ascii="Arial" w:eastAsia="Times New Roman" w:hAnsi="Arial" w:cs="Arial"/>
                <w:szCs w:val="24"/>
              </w:rPr>
              <w:t xml:space="preserve"> </w:t>
            </w:r>
            <w:r w:rsidRPr="00C41D5A">
              <w:rPr>
                <w:rFonts w:ascii="Arial" w:eastAsia="Calibri" w:hAnsi="Arial" w:cs="Arial"/>
                <w:szCs w:val="24"/>
              </w:rPr>
              <w:t>Access Control for Mobile Devices</w:t>
            </w:r>
          </w:p>
          <w:p w:rsidR="00C41D5A" w:rsidRPr="00C41D5A" w:rsidRDefault="00C41D5A" w:rsidP="00C41D5A">
            <w:pPr>
              <w:spacing w:after="0" w:line="240" w:lineRule="auto"/>
              <w:rPr>
                <w:rFonts w:ascii="Arial" w:eastAsia="Calibri" w:hAnsi="Arial" w:cs="Arial"/>
                <w:szCs w:val="24"/>
              </w:rPr>
            </w:pPr>
            <w:r w:rsidRPr="00C41D5A">
              <w:rPr>
                <w:rFonts w:ascii="Arial" w:eastAsia="Calibri" w:hAnsi="Arial" w:cs="Arial"/>
                <w:szCs w:val="24"/>
              </w:rPr>
              <w:t>NIST SP 800-53 Revision 4: PS 6 Access Agreements</w:t>
            </w:r>
          </w:p>
        </w:tc>
      </w:tr>
      <w:tr w:rsidR="00C41D5A" w:rsidRPr="00C41D5A" w:rsidTr="00837E13">
        <w:tc>
          <w:tcPr>
            <w:tcW w:w="2117" w:type="dxa"/>
          </w:tcPr>
          <w:p w:rsidR="00C41D5A" w:rsidRPr="00C41D5A" w:rsidRDefault="00C41D5A" w:rsidP="00C41D5A">
            <w:pPr>
              <w:spacing w:after="0" w:line="240" w:lineRule="auto"/>
              <w:rPr>
                <w:rFonts w:ascii="Arial" w:eastAsia="Calibri" w:hAnsi="Arial" w:cs="Arial"/>
                <w:color w:val="1F497D"/>
                <w:szCs w:val="24"/>
              </w:rPr>
            </w:pPr>
            <w:r w:rsidRPr="00C41D5A">
              <w:rPr>
                <w:rFonts w:ascii="Arial" w:eastAsia="Calibri" w:hAnsi="Arial" w:cs="Arial"/>
                <w:color w:val="1F497D"/>
                <w:szCs w:val="24"/>
              </w:rPr>
              <w:t xml:space="preserve">Reference </w:t>
            </w:r>
          </w:p>
        </w:tc>
        <w:tc>
          <w:tcPr>
            <w:tcW w:w="7243" w:type="dxa"/>
            <w:tcBorders>
              <w:top w:val="single" w:sz="6" w:space="0" w:color="000000"/>
              <w:left w:val="nil"/>
              <w:bottom w:val="single" w:sz="6" w:space="0" w:color="000000"/>
              <w:right w:val="nil"/>
            </w:tcBorders>
          </w:tcPr>
          <w:p w:rsidR="00C41D5A" w:rsidRPr="00C41D5A" w:rsidRDefault="00C41D5A" w:rsidP="00C41D5A">
            <w:pPr>
              <w:spacing w:after="0" w:line="240" w:lineRule="auto"/>
              <w:ind w:left="360" w:hanging="360"/>
              <w:rPr>
                <w:rFonts w:ascii="Arial" w:eastAsia="Calibri" w:hAnsi="Arial" w:cs="Arial"/>
                <w:sz w:val="18"/>
                <w:szCs w:val="24"/>
              </w:rPr>
            </w:pPr>
            <w:hyperlink r:id="rId6" w:history="1">
              <w:r w:rsidRPr="00C41D5A">
                <w:rPr>
                  <w:rFonts w:ascii="Arial" w:eastAsia="Calibri" w:hAnsi="Arial" w:cs="Arial"/>
                  <w:color w:val="0000FF"/>
                  <w:sz w:val="18"/>
                  <w:szCs w:val="24"/>
                  <w:u w:val="single"/>
                </w:rPr>
                <w:t>http://csrc.nist.gov/publications/nistpubs/800-53-rev4/sp800_53_r4_final_word_ver.docx</w:t>
              </w:r>
            </w:hyperlink>
          </w:p>
        </w:tc>
      </w:tr>
    </w:tbl>
    <w:p w:rsidR="00F257E9" w:rsidRDefault="00F257E9">
      <w:bookmarkStart w:id="7" w:name="_GoBack"/>
      <w:bookmarkEnd w:id="7"/>
    </w:p>
    <w:sectPr w:rsidR="00F25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0E2F"/>
    <w:multiLevelType w:val="multilevel"/>
    <w:tmpl w:val="6F7EBCD6"/>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Arial" w:hAnsi="Arial" w:cs="Arial"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71B61342"/>
    <w:multiLevelType w:val="hybridMultilevel"/>
    <w:tmpl w:val="7C52BA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D5A"/>
    <w:rsid w:val="00204228"/>
    <w:rsid w:val="00C41D5A"/>
    <w:rsid w:val="00F2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C50F4-2003-49D8-9997-FEC4E32D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rc.nist.gov/publications/nistpubs/800-53-rev4/sp800_53_r4_final_word_ver.docx" TargetMode="External"/><Relationship Id="rId5" Type="http://schemas.openxmlformats.org/officeDocument/2006/relationships/hyperlink" Target="https://www.bcbis.sc.gov/DIS/DIS-index.p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AZA DE LA CRUZ, JOAN</dc:creator>
  <cp:keywords/>
  <dc:description/>
  <cp:lastModifiedBy>DE AZA DE LA CRUZ, JOAN</cp:lastModifiedBy>
  <cp:revision>1</cp:revision>
  <dcterms:created xsi:type="dcterms:W3CDTF">2017-04-21T15:16:00Z</dcterms:created>
  <dcterms:modified xsi:type="dcterms:W3CDTF">2017-04-21T15:19:00Z</dcterms:modified>
</cp:coreProperties>
</file>